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«Картфонд»</w:t>
      </w: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 w:rsidR="00807569">
        <w:rPr>
          <w:rFonts w:ascii="Times New Roman" w:hAnsi="Times New Roman"/>
          <w:sz w:val="24"/>
          <w:szCs w:val="24"/>
        </w:rPr>
        <w:t>Чаганский</w:t>
      </w:r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85EA9">
        <w:rPr>
          <w:rFonts w:ascii="Times New Roman" w:hAnsi="Times New Roman"/>
          <w:b/>
          <w:sz w:val="24"/>
          <w:szCs w:val="24"/>
        </w:rPr>
        <w:t>Договор</w:t>
      </w:r>
      <w:r w:rsidRPr="00985EA9">
        <w:rPr>
          <w:rFonts w:ascii="Times New Roman" w:hAnsi="Times New Roman"/>
          <w:sz w:val="24"/>
          <w:szCs w:val="24"/>
        </w:rPr>
        <w:t xml:space="preserve"> от </w:t>
      </w:r>
      <w:r w:rsidR="00985EA9" w:rsidRPr="00985EA9">
        <w:rPr>
          <w:rFonts w:ascii="Times New Roman" w:hAnsi="Times New Roman"/>
          <w:sz w:val="24"/>
          <w:szCs w:val="24"/>
        </w:rPr>
        <w:t xml:space="preserve">16июля </w:t>
      </w:r>
      <w:r w:rsidRPr="00985EA9">
        <w:rPr>
          <w:rFonts w:ascii="Times New Roman" w:hAnsi="Times New Roman"/>
          <w:sz w:val="24"/>
          <w:szCs w:val="24"/>
        </w:rPr>
        <w:t xml:space="preserve">2025 года № </w:t>
      </w:r>
      <w:r w:rsidR="00985EA9" w:rsidRPr="00985EA9">
        <w:rPr>
          <w:rFonts w:ascii="Times New Roman" w:hAnsi="Times New Roman"/>
          <w:sz w:val="24"/>
          <w:szCs w:val="24"/>
        </w:rPr>
        <w:t>02-05/2025</w:t>
      </w: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807569">
        <w:rPr>
          <w:rFonts w:ascii="Times New Roman" w:hAnsi="Times New Roman"/>
          <w:b/>
          <w:sz w:val="28"/>
          <w:szCs w:val="28"/>
        </w:rPr>
        <w:t>ЧАГАНСКИЙ</w:t>
      </w:r>
      <w:r>
        <w:rPr>
          <w:rFonts w:ascii="Times New Roman" w:hAnsi="Times New Roman"/>
          <w:b/>
          <w:sz w:val="28"/>
          <w:szCs w:val="28"/>
        </w:rPr>
        <w:t xml:space="preserve">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«Картфонд»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:rsidR="000029E1" w:rsidRPr="00205704" w:rsidRDefault="000029E1" w:rsidP="000029E1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204855671"/>
      <w:r w:rsidRPr="00205704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:rsidR="000029E1" w:rsidRPr="00C326F2" w:rsidRDefault="000029E1" w:rsidP="00C326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r w:rsidRPr="00135F9C">
        <w:fldChar w:fldCharType="begin"/>
      </w:r>
      <w:r w:rsidR="000029E1" w:rsidRPr="00C326F2">
        <w:instrText xml:space="preserve"> TOC \o "1-4" \h \z \u </w:instrText>
      </w:r>
      <w:r w:rsidRPr="00135F9C">
        <w:fldChar w:fldCharType="separate"/>
      </w:r>
      <w:hyperlink w:anchor="_Toc204855671" w:history="1">
        <w:r w:rsidR="00C326F2" w:rsidRPr="00C326F2">
          <w:rPr>
            <w:rStyle w:val="ac"/>
          </w:rPr>
          <w:t>Содержание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_Toc204855671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2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672" w:history="1">
        <w:r w:rsidR="00C326F2" w:rsidRPr="00C326F2">
          <w:rPr>
            <w:rStyle w:val="ac"/>
          </w:rPr>
          <w:t>Авторский коллектив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5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673" w:history="1">
        <w:r w:rsidR="00C326F2" w:rsidRPr="00C326F2">
          <w:rPr>
            <w:rStyle w:val="ac"/>
          </w:rPr>
          <w:t>1. Общие положения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74" w:history="1">
        <w:r w:rsidR="00C326F2" w:rsidRPr="00C326F2">
          <w:rPr>
            <w:rStyle w:val="ac"/>
          </w:rPr>
          <w:t>1.1 Определение целей нормирования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75" w:history="1">
        <w:r w:rsidR="00C326F2" w:rsidRPr="00C326F2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76" w:history="1">
        <w:r w:rsidR="00C326F2" w:rsidRPr="00C326F2">
          <w:rPr>
            <w:rStyle w:val="ac"/>
          </w:rPr>
          <w:t>1.3 Сведения о дифференциации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7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677" w:history="1">
        <w:r w:rsidR="00C326F2" w:rsidRPr="00C326F2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Чаганский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78" w:history="1">
        <w:r w:rsidR="00C326F2" w:rsidRPr="00C326F2">
          <w:rPr>
            <w:rStyle w:val="ac"/>
          </w:rPr>
          <w:t>2.1 Электроснабжение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79" w:history="1">
        <w:r w:rsidR="00C326F2" w:rsidRPr="00C326F2">
          <w:rPr>
            <w:rStyle w:val="ac"/>
          </w:rPr>
          <w:t>2.2 Газоснабжение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0" w:history="1">
        <w:r w:rsidR="00C326F2" w:rsidRPr="00C326F2">
          <w:rPr>
            <w:rStyle w:val="ac"/>
          </w:rPr>
          <w:t>2.3 Теплоснабжение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_Toc204855680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1" w:history="1">
        <w:r w:rsidR="00C326F2" w:rsidRPr="00C326F2">
          <w:rPr>
            <w:rStyle w:val="ac"/>
          </w:rPr>
          <w:t>2.4 Водоснабжение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_Toc204855681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2" w:history="1">
        <w:r w:rsidR="00C326F2" w:rsidRPr="00C326F2">
          <w:rPr>
            <w:rStyle w:val="ac"/>
          </w:rPr>
          <w:t>2.5 Водоотведение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3" w:history="1">
        <w:r w:rsidR="00C326F2" w:rsidRPr="00C326F2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10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4" w:history="1">
        <w:r w:rsidR="00C326F2" w:rsidRPr="00C326F2">
          <w:rPr>
            <w:rStyle w:val="ac"/>
          </w:rPr>
          <w:t>2.7 Образование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11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5" w:history="1">
        <w:r w:rsidR="00C326F2" w:rsidRPr="00C326F2">
          <w:rPr>
            <w:rStyle w:val="ac"/>
          </w:rPr>
          <w:t>2.8 Физическая культура и массовый спорт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11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6" w:history="1">
        <w:r w:rsidR="00C326F2" w:rsidRPr="00C326F2">
          <w:rPr>
            <w:rStyle w:val="ac"/>
          </w:rPr>
          <w:t>2.9 Обработка, утилизация, обезвреживание, размещение твердых коммунальных отходов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12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87" w:history="1">
        <w:r w:rsidR="00C326F2" w:rsidRPr="00C326F2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_Toc204855687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12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88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2.10.1 Благоустройство территории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_Toc204855688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12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89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2.10.2 Культура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_Toc204855689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90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2.10.3 Торговля и общественное питание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_Toc204855690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91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2.10.4 Содержание мест захоронения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_Toc204855691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92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2.10.5 Предупреждение и ликвидация последствий чрезвычайных ситуаций в границах сельского поселения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_Toc204855692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693" w:history="1">
        <w:r w:rsidR="00C326F2" w:rsidRPr="00C326F2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_Toc204855693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94" w:history="1">
        <w:r w:rsidR="00C326F2" w:rsidRPr="00C326F2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_Toc204855694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95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3.1.1 Социально-демографический состав и плотность населения на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_Toc204855695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696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3.1.2 Учет параметров социально-экономического развития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_Toc204855696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97" w:history="1">
        <w:r w:rsidR="00C326F2" w:rsidRPr="00C326F2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_Toc204855697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17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98" w:history="1">
        <w:r w:rsidR="00C326F2" w:rsidRPr="00C326F2">
          <w:rPr>
            <w:rStyle w:val="ac"/>
          </w:rPr>
          <w:t>3.3 Обоснование дифференциации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_Toc204855698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22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699" w:history="1">
        <w:r w:rsidR="00C326F2" w:rsidRPr="00C326F2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_Toc204855699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22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0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 Электроснабжение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22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1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3.4.2 Газоснабжение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2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3.4.3 Теплоснабжение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3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3.4.4 Водоснабжение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_Toc204855703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4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3.4.5 Водоотведение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_Toc204855704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5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_Toc204855705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6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3.4.7 Образование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_Toc204855706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7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3.4.8 Физическая культура и массовый спорт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_Toc204855707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8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3.4.9 Обработка, утилизация, обезвреживание, размещение твердых коммунальных отходов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_Toc204855708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09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 Иные области в связи с решением вопросов местного значения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_Toc204855709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10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3.4.10.1 Благоустройство территории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_Toc204855710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11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3.4.10.2 Культура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_Toc204855711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12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3.4.10.3 Торговля и общественное питание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_Toc204855712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13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3.4.10.4 Содержание мест захоронения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_Toc204855713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</w:rPr>
      </w:pPr>
      <w:hyperlink w:anchor="_Toc204855714" w:history="1">
        <w:r w:rsidR="00C326F2" w:rsidRPr="00C326F2">
          <w:rPr>
            <w:rStyle w:val="ac"/>
            <w:rFonts w:ascii="Times New Roman" w:hAnsi="Times New Roman" w:cs="Times New Roman"/>
            <w:b/>
            <w:noProof/>
          </w:rPr>
          <w:t>3.4.10.5 Предупреждение и ликвидация последствий чрезвычайных ситуаций в границах сельского поселения</w:t>
        </w:r>
        <w:r w:rsidR="00C326F2"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="00C326F2" w:rsidRPr="00C326F2">
          <w:rPr>
            <w:rFonts w:ascii="Times New Roman" w:hAnsi="Times New Roman" w:cs="Times New Roman"/>
            <w:noProof/>
            <w:webHidden/>
          </w:rPr>
          <w:instrText xml:space="preserve"> PAGEREF _Toc204855714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715" w:history="1">
        <w:r w:rsidR="00C326F2" w:rsidRPr="00C326F2">
          <w:rPr>
            <w:rStyle w:val="ac"/>
          </w:rPr>
          <w:t>4. Правила и область применения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_Toc204855715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30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716" w:history="1">
        <w:r w:rsidR="00C326F2" w:rsidRPr="00C326F2">
          <w:rPr>
            <w:rStyle w:val="ac"/>
          </w:rPr>
          <w:t>4.1 Правила применения расчетных показателей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_Toc204855716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30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717" w:history="1">
        <w:r w:rsidR="00C326F2" w:rsidRPr="00C326F2">
          <w:rPr>
            <w:rStyle w:val="ac"/>
          </w:rPr>
          <w:t>4.2 Область применения расчетных показателей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_Toc204855717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31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718" w:history="1">
        <w:r w:rsidR="00C326F2" w:rsidRPr="00C326F2">
          <w:rPr>
            <w:rStyle w:val="ac"/>
          </w:rPr>
          <w:t>Приложение 1 – Термины и определения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_Toc204855718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33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719" w:history="1">
        <w:r w:rsidR="00C326F2" w:rsidRPr="00C326F2">
          <w:rPr>
            <w:rStyle w:val="ac"/>
          </w:rPr>
          <w:t>Приложение 2 – Обозначения и сокращения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_Toc204855719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36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</w:rPr>
      </w:pPr>
      <w:hyperlink w:anchor="_Toc204855720" w:history="1">
        <w:r w:rsidR="00C326F2" w:rsidRPr="00C326F2">
          <w:rPr>
            <w:rStyle w:val="ac"/>
          </w:rPr>
          <w:t>Приложение 3 – Нормативная база МНГП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_Toc204855720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37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721" w:history="1">
        <w:r w:rsidR="00C326F2" w:rsidRPr="00C326F2">
          <w:rPr>
            <w:rStyle w:val="ac"/>
          </w:rPr>
          <w:t>3.1 Российской Федерации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_Toc204855721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37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722" w:history="1">
        <w:r w:rsidR="00C326F2" w:rsidRPr="00C326F2">
          <w:rPr>
            <w:rStyle w:val="ac"/>
          </w:rPr>
          <w:t>3.2 Астраханской области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_Toc204855722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39</w:t>
        </w:r>
        <w:r w:rsidRPr="00C326F2">
          <w:rPr>
            <w:webHidden/>
          </w:rPr>
          <w:fldChar w:fldCharType="end"/>
        </w:r>
      </w:hyperlink>
    </w:p>
    <w:p w:rsidR="00C326F2" w:rsidRPr="00C326F2" w:rsidRDefault="00135F9C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</w:rPr>
      </w:pPr>
      <w:hyperlink w:anchor="_Toc204855723" w:history="1">
        <w:r w:rsidR="00C326F2" w:rsidRPr="00C326F2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 w:rsidR="00C326F2"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_Toc204855723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42</w:t>
        </w:r>
        <w:r w:rsidRPr="00C326F2">
          <w:rPr>
            <w:webHidden/>
          </w:rPr>
          <w:fldChar w:fldCharType="end"/>
        </w:r>
      </w:hyperlink>
    </w:p>
    <w:p w:rsidR="000029E1" w:rsidRPr="00977795" w:rsidRDefault="00135F9C" w:rsidP="00C326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2">
        <w:rPr>
          <w:rFonts w:ascii="Times New Roman" w:hAnsi="Times New Roman" w:cs="Times New Roman"/>
          <w:sz w:val="24"/>
          <w:szCs w:val="24"/>
        </w:rPr>
        <w:fldChar w:fldCharType="end"/>
      </w:r>
      <w:r w:rsidR="000029E1" w:rsidRPr="00977795">
        <w:rPr>
          <w:rFonts w:ascii="Times New Roman" w:hAnsi="Times New Roman" w:cs="Times New Roman"/>
          <w:sz w:val="24"/>
          <w:szCs w:val="24"/>
        </w:rPr>
        <w:br w:type="page"/>
      </w:r>
    </w:p>
    <w:p w:rsidR="000029E1" w:rsidRPr="00977795" w:rsidRDefault="000029E1" w:rsidP="000029E1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204855672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1"/>
      <w:bookmarkEnd w:id="2"/>
    </w:p>
    <w:p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9469"/>
      </w:tblGrid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МАХМУДОВ Раким Камилович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ЭШРОКОВ Виталий Мурадинович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:rsidTr="00AC4630">
        <w:tc>
          <w:tcPr>
            <w:tcW w:w="5000" w:type="pct"/>
          </w:tcPr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9E1" w:rsidRPr="00977795" w:rsidRDefault="000029E1" w:rsidP="000029E1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:rsidR="000029E1" w:rsidRPr="00977795" w:rsidRDefault="000029E1" w:rsidP="000029E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204855673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3"/>
    </w:p>
    <w:p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9E1" w:rsidRPr="00977795" w:rsidRDefault="000029E1" w:rsidP="000029E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204855674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:rsidR="00DB6D3A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поселения.</w:t>
      </w:r>
    </w:p>
    <w:p w:rsidR="007A004F" w:rsidRDefault="000029E1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 разработаны в соответствии с пунктом 2 части 1 статьи 8 Градостроительного кодекса Российской Федерации</w:t>
      </w:r>
      <w:r w:rsidR="007A004F">
        <w:rPr>
          <w:rFonts w:ascii="Times New Roman" w:hAnsi="Times New Roman" w:cs="Times New Roman"/>
          <w:sz w:val="24"/>
          <w:szCs w:val="24"/>
        </w:rPr>
        <w:t xml:space="preserve"> и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="007A004F"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сельского поселения. МНГП учитывают социально-экономические, территориальные и иные особенности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="007A004F">
        <w:rPr>
          <w:rFonts w:ascii="Times New Roman" w:hAnsi="Times New Roman" w:cs="Times New Roman"/>
          <w:sz w:val="24"/>
          <w:szCs w:val="24"/>
        </w:rPr>
        <w:t xml:space="preserve"> сельсовет». </w:t>
      </w:r>
      <w:r w:rsidR="007A004F" w:rsidRPr="00977795">
        <w:rPr>
          <w:rFonts w:ascii="Times New Roman" w:hAnsi="Times New Roman" w:cs="Times New Roman"/>
          <w:sz w:val="24"/>
          <w:szCs w:val="24"/>
        </w:rPr>
        <w:t>МНГП входят в систему нормативных правовых актов, регламентирующих градостроительную деятельность на территории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="007A004F" w:rsidRPr="00977795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7A004F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сельского поселения разработаны для обеспечения благоприятных условий жизнедеятельности населения, направлены на установление обязательных требований для всех субъектов градостроительных отношений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04F" w:rsidRPr="00977795" w:rsidRDefault="007A004F" w:rsidP="007A00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204855675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</w:p>
    <w:p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соответствии с требованиями ГрК РФ</w:t>
      </w:r>
      <w:r w:rsidRPr="00977795">
        <w:rPr>
          <w:szCs w:val="28"/>
          <w:vertAlign w:val="superscript"/>
        </w:rPr>
        <w:footnoteReference w:id="2"/>
      </w:r>
      <w:r w:rsidRPr="00977795">
        <w:rPr>
          <w:rFonts w:ascii="Times New Roman" w:hAnsi="Times New Roman" w:cs="Times New Roman"/>
          <w:sz w:val="24"/>
          <w:szCs w:val="24"/>
        </w:rPr>
        <w:t>, и Методических рекомендаций по подготовке 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 w:rsidRPr="00977795"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МНГП установлены предельные значения расчетных показателей для объектов местного значения в следующих приоритетных областях: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:rsidR="007A004F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04F" w:rsidRPr="00977795" w:rsidRDefault="007A004F" w:rsidP="007A00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204855676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"/>
    </w:p>
    <w:p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</w:t>
      </w:r>
      <w:r w:rsidR="00807569">
        <w:rPr>
          <w:rFonts w:ascii="Times New Roman" w:hAnsi="Times New Roman" w:cs="Times New Roman"/>
          <w:sz w:val="24"/>
          <w:szCs w:val="24"/>
        </w:rPr>
        <w:t>Чаган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Увары;</w:t>
      </w:r>
    </w:p>
    <w:p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Успех;</w:t>
      </w:r>
    </w:p>
    <w:p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доступности таких объектов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сельского поселения.</w:t>
      </w:r>
    </w:p>
    <w:p w:rsidR="000029E1" w:rsidRDefault="00AD06AE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ниже приведены данные о составе территории муниципального образования «Сельское поселение 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области».</w:t>
      </w:r>
    </w:p>
    <w:p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6AE" w:rsidRPr="00977795" w:rsidRDefault="00AD06AE" w:rsidP="00AD06AE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="00135F9C"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="00135F9C" w:rsidRPr="00977795">
        <w:rPr>
          <w:rFonts w:ascii="Times New Roman" w:hAnsi="Times New Roman" w:cs="Times New Roman"/>
          <w:b/>
          <w:iCs/>
        </w:rPr>
        <w:fldChar w:fldCharType="separate"/>
      </w:r>
      <w:r w:rsidR="006B44B2">
        <w:rPr>
          <w:rFonts w:ascii="Times New Roman" w:hAnsi="Times New Roman" w:cs="Times New Roman"/>
          <w:b/>
          <w:iCs/>
          <w:noProof/>
        </w:rPr>
        <w:t>1</w:t>
      </w:r>
      <w:r w:rsidR="00135F9C"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r w:rsidR="00807569">
        <w:rPr>
          <w:rFonts w:ascii="Times New Roman" w:hAnsi="Times New Roman" w:cs="Times New Roman"/>
          <w:b/>
          <w:iCs/>
        </w:rPr>
        <w:t>Чаганский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6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726"/>
        <w:gridCol w:w="2009"/>
        <w:gridCol w:w="2011"/>
        <w:gridCol w:w="2723"/>
      </w:tblGrid>
      <w:tr w:rsidR="00AD06AE" w:rsidRPr="00977795" w:rsidTr="00AC4630">
        <w:tc>
          <w:tcPr>
            <w:tcW w:w="1439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438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8"/>
            </w:r>
          </w:p>
        </w:tc>
      </w:tr>
      <w:tr w:rsidR="00AD06AE" w:rsidRPr="00977795" w:rsidTr="00AC4630">
        <w:tc>
          <w:tcPr>
            <w:tcW w:w="1439" w:type="pct"/>
            <w:vAlign w:val="center"/>
          </w:tcPr>
          <w:p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807569">
              <w:rPr>
                <w:rFonts w:ascii="Times New Roman" w:hAnsi="Times New Roman" w:cs="Times New Roman"/>
                <w:sz w:val="24"/>
                <w:szCs w:val="24"/>
              </w:rPr>
              <w:t>Чаган</w:t>
            </w:r>
          </w:p>
        </w:tc>
        <w:tc>
          <w:tcPr>
            <w:tcW w:w="1061" w:type="pct"/>
            <w:vAlign w:val="center"/>
          </w:tcPr>
          <w:p w:rsidR="00AD06AE" w:rsidRDefault="00AD06AE" w:rsidP="00AC4630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:rsidR="00AD06AE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1438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AD06AE" w:rsidRPr="00977795" w:rsidTr="00AC4630">
        <w:tc>
          <w:tcPr>
            <w:tcW w:w="1439" w:type="pct"/>
            <w:vAlign w:val="center"/>
          </w:tcPr>
          <w:p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Увары</w:t>
            </w:r>
          </w:p>
        </w:tc>
        <w:tc>
          <w:tcPr>
            <w:tcW w:w="1061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38" w:type="pct"/>
            <w:vAlign w:val="center"/>
          </w:tcPr>
          <w:p w:rsidR="00AD06AE" w:rsidRDefault="00AD06AE" w:rsidP="00AC4630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AD06AE" w:rsidRPr="00977795" w:rsidTr="00AC4630">
        <w:tc>
          <w:tcPr>
            <w:tcW w:w="1439" w:type="pct"/>
            <w:vAlign w:val="center"/>
          </w:tcPr>
          <w:p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Успех</w:t>
            </w:r>
          </w:p>
        </w:tc>
        <w:tc>
          <w:tcPr>
            <w:tcW w:w="1061" w:type="pct"/>
            <w:vAlign w:val="center"/>
          </w:tcPr>
          <w:p w:rsidR="00AD06AE" w:rsidRDefault="00AD06AE" w:rsidP="00AC4630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1062" w:type="pct"/>
            <w:vAlign w:val="center"/>
          </w:tcPr>
          <w:p w:rsidR="00AD06AE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38" w:type="pct"/>
            <w:vAlign w:val="center"/>
          </w:tcPr>
          <w:p w:rsidR="00AD06AE" w:rsidRDefault="00AD06AE" w:rsidP="00AC4630">
            <w:pPr>
              <w:jc w:val="center"/>
            </w:pPr>
            <w:r>
              <w:rPr>
                <w:rFonts w:ascii="Times New Roman" w:hAnsi="Times New Roman" w:cs="Times New Roman"/>
              </w:rPr>
              <w:t>Малый</w:t>
            </w:r>
            <w:r w:rsidRPr="00DB621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50-200</w:t>
            </w:r>
            <w:r w:rsidRPr="00DB621A">
              <w:rPr>
                <w:rFonts w:ascii="Times New Roman" w:hAnsi="Times New Roman" w:cs="Times New Roman"/>
              </w:rPr>
              <w:t>)</w:t>
            </w:r>
          </w:p>
        </w:tc>
      </w:tr>
      <w:tr w:rsidR="00AD06AE" w:rsidRPr="00977795" w:rsidTr="00AC4630">
        <w:tc>
          <w:tcPr>
            <w:tcW w:w="1439" w:type="pct"/>
          </w:tcPr>
          <w:p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2569</w:t>
            </w:r>
          </w:p>
        </w:tc>
        <w:tc>
          <w:tcPr>
            <w:tcW w:w="1438" w:type="pct"/>
            <w:vAlign w:val="center"/>
          </w:tcPr>
          <w:p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9E1" w:rsidRDefault="00AD06AE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</w:p>
    <w:p w:rsidR="00AD06AE" w:rsidRDefault="00AD0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06AE" w:rsidRPr="0002298E" w:rsidRDefault="00AD06AE" w:rsidP="00AD06AE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204855677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 w:rsidR="00807569">
        <w:rPr>
          <w:rFonts w:ascii="Times New Roman" w:hAnsi="Times New Roman" w:cs="Times New Roman"/>
          <w:b/>
          <w:sz w:val="28"/>
          <w:szCs w:val="24"/>
        </w:rPr>
        <w:t>Чаганский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7"/>
    </w:p>
    <w:p w:rsidR="00AD06AE" w:rsidRPr="0002298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6AE" w:rsidRPr="0002298E" w:rsidRDefault="00AD06AE" w:rsidP="00AD06A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204855678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8"/>
    </w:p>
    <w:p w:rsidR="00AD06AE" w:rsidRPr="0002298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электроснабжения принимаются в соответствии с табл. 2 и табл. 3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</w:t>
      </w:r>
      <w:r>
        <w:rPr>
          <w:rFonts w:ascii="Times New Roman" w:hAnsi="Times New Roman" w:cs="Times New Roman"/>
          <w:sz w:val="24"/>
          <w:szCs w:val="24"/>
        </w:rPr>
        <w:t xml:space="preserve">далее по тексту – </w:t>
      </w:r>
      <w:r w:rsidRPr="0002298E">
        <w:rPr>
          <w:rFonts w:ascii="Times New Roman" w:hAnsi="Times New Roman" w:cs="Times New Roman"/>
          <w:sz w:val="24"/>
          <w:szCs w:val="24"/>
        </w:rPr>
        <w:t>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район»).</w:t>
      </w:r>
    </w:p>
    <w:p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02298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204855679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9"/>
    </w:p>
    <w:p w:rsidR="00D44EA5" w:rsidRPr="0002298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02298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204855680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0"/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204855681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1"/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Toc204855682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12"/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этом пункты 5.1.4 и 5.1.5 СП 32.13330.2018 «Канализация. Наружные сети и сооружения» предполагают следующие:</w:t>
      </w:r>
    </w:p>
    <w:p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>удельное водоотведение в неканализованных районах следует принимать 25 л/сут.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неучтенные притоки от абонентов – 4-8%; </w:t>
      </w:r>
    </w:p>
    <w:p w:rsidR="00D44EA5" w:rsidRPr="00F852D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>неорганизованные притоки (поверхностные, инфильтрационные и дренажные воды) – 4-8%.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_Toc170480771"/>
      <w:bookmarkStart w:id="14" w:name="_Toc204855683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13"/>
      <w:bookmarkEnd w:id="14"/>
    </w:p>
    <w:p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B44B2">
        <w:rPr>
          <w:rFonts w:ascii="Times New Roman" w:hAnsi="Times New Roman" w:cs="Times New Roman"/>
          <w:b/>
          <w:bCs/>
          <w:noProof/>
          <w:szCs w:val="24"/>
        </w:rPr>
        <w:t>2</w:t>
      </w:r>
      <w:r w:rsidR="00135F9C"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</w:t>
      </w:r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r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D44EA5" w:rsidRPr="00084FA3" w:rsidTr="00AC4630"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084FA3" w:rsidTr="00AC4630">
        <w:trPr>
          <w:trHeight w:val="2783"/>
        </w:trPr>
        <w:tc>
          <w:tcPr>
            <w:tcW w:w="1250" w:type="pct"/>
            <w:vMerge w:val="restart"/>
          </w:tcPr>
          <w:p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9"/>
            </w:r>
          </w:p>
        </w:tc>
      </w:tr>
      <w:tr w:rsidR="00D44EA5" w:rsidRPr="00084FA3" w:rsidTr="00AC4630">
        <w:tc>
          <w:tcPr>
            <w:tcW w:w="1250" w:type="pct"/>
            <w:vMerge/>
          </w:tcPr>
          <w:p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807569" w:rsidRPr="00084FA3" w:rsidTr="00807569">
        <w:tc>
          <w:tcPr>
            <w:tcW w:w="1250" w:type="pct"/>
            <w:vMerge w:val="restart"/>
          </w:tcPr>
          <w:p w:rsidR="00807569" w:rsidRPr="00084FA3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:rsidR="00807569" w:rsidRPr="00084FA3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807569" w:rsidRPr="00807569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:rsidR="00807569" w:rsidRPr="00084FA3" w:rsidRDefault="00807569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</w:tr>
      <w:tr w:rsidR="00807569" w:rsidRPr="00084FA3" w:rsidTr="00807569">
        <w:tc>
          <w:tcPr>
            <w:tcW w:w="1250" w:type="pct"/>
            <w:vMerge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807569" w:rsidRPr="00084FA3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807569" w:rsidRPr="00084FA3" w:rsidTr="00AC4630">
        <w:tc>
          <w:tcPr>
            <w:tcW w:w="1250" w:type="pct"/>
            <w:vMerge w:val="restart"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:rsidR="00807569" w:rsidRPr="00084FA3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07569" w:rsidRPr="00084FA3" w:rsidTr="00AC4630">
        <w:tc>
          <w:tcPr>
            <w:tcW w:w="1250" w:type="pct"/>
            <w:vMerge/>
          </w:tcPr>
          <w:p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807569" w:rsidRPr="007D6B10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807569" w:rsidRPr="007D6B10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:rsidR="00807569" w:rsidRPr="007D6B10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:rsidR="00D44EA5" w:rsidRPr="00084FA3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:rsidR="00D44EA5" w:rsidRPr="00084FA3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lastRenderedPageBreak/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0"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9016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084FA3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170480772"/>
      <w:bookmarkStart w:id="16" w:name="_Toc204855684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15"/>
      <w:bookmarkEnd w:id="16"/>
    </w:p>
    <w:p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C52F6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170480773"/>
      <w:bookmarkStart w:id="18" w:name="_Toc170722578"/>
      <w:bookmarkStart w:id="19" w:name="_Toc204855685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17"/>
      <w:bookmarkEnd w:id="18"/>
      <w:bookmarkEnd w:id="19"/>
    </w:p>
    <w:p w:rsidR="00D44EA5" w:rsidRPr="004C52F6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3</w:t>
      </w:r>
      <w:r w:rsidR="00135F9C"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D44EA5" w:rsidRPr="004C52F6" w:rsidTr="00AC4630"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4C52F6" w:rsidTr="00AC4630">
        <w:tc>
          <w:tcPr>
            <w:tcW w:w="1250" w:type="pc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44EA5" w:rsidRPr="004C52F6" w:rsidTr="00AC4630">
        <w:tc>
          <w:tcPr>
            <w:tcW w:w="1250" w:type="pct"/>
            <w:vMerge w:val="restar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44EA5" w:rsidRPr="004C52F6" w:rsidTr="00AC4630">
        <w:tc>
          <w:tcPr>
            <w:tcW w:w="1250" w:type="pct"/>
            <w:vMerge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lastRenderedPageBreak/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</w:t>
      </w:r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r>
        <w:rPr>
          <w:rFonts w:ascii="Times New Roman" w:hAnsi="Times New Roman" w:cs="Times New Roman"/>
          <w:sz w:val="20"/>
          <w:szCs w:val="24"/>
        </w:rPr>
        <w:t xml:space="preserve"> сельсовет» и в целом в муниципальном районе доля населения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1"/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2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EE20FC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170480774"/>
      <w:bookmarkStart w:id="21" w:name="_Toc204855686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20"/>
      <w:bookmarkEnd w:id="21"/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501A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_Toc170480775"/>
      <w:bookmarkStart w:id="23" w:name="_Toc204855687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22"/>
      <w:bookmarkEnd w:id="23"/>
    </w:p>
    <w:p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501AE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4" w:name="_Toc170480776"/>
      <w:bookmarkStart w:id="25" w:name="_Toc204855688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24"/>
      <w:bookmarkEnd w:id="25"/>
    </w:p>
    <w:p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lastRenderedPageBreak/>
        <w:t xml:space="preserve">Таблица </w: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4</w:t>
      </w:r>
      <w:r w:rsidR="00135F9C"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4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D44EA5" w:rsidRPr="004501AE" w:rsidTr="00AC4630"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4501AE" w:rsidTr="00AC4630">
        <w:tc>
          <w:tcPr>
            <w:tcW w:w="1250" w:type="pct"/>
            <w:vMerge w:val="restart"/>
            <w:vAlign w:val="center"/>
          </w:tcPr>
          <w:p w:rsidR="00D44EA5" w:rsidRPr="004501AE" w:rsidRDefault="00D44EA5" w:rsidP="00AC4630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D44EA5" w:rsidRPr="004501AE" w:rsidTr="00AC4630">
        <w:tc>
          <w:tcPr>
            <w:tcW w:w="1250" w:type="pct"/>
            <w:vMerge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501AE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_Toc170480777"/>
      <w:bookmarkStart w:id="27" w:name="_Toc170722582"/>
      <w:bookmarkStart w:id="28" w:name="_Toc204855689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26"/>
      <w:bookmarkEnd w:id="27"/>
      <w:bookmarkEnd w:id="28"/>
    </w:p>
    <w:p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5</w:t>
      </w:r>
      <w:r w:rsidR="00135F9C"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5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/>
      </w:tblPr>
      <w:tblGrid>
        <w:gridCol w:w="2253"/>
        <w:gridCol w:w="2254"/>
        <w:gridCol w:w="2254"/>
        <w:gridCol w:w="1638"/>
        <w:gridCol w:w="1070"/>
      </w:tblGrid>
      <w:tr w:rsidR="00D44EA5" w:rsidRPr="004501AE" w:rsidTr="00AC4630">
        <w:tc>
          <w:tcPr>
            <w:tcW w:w="119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D44EA5" w:rsidRPr="004501AE" w:rsidTr="00AC4630">
        <w:tc>
          <w:tcPr>
            <w:tcW w:w="1190" w:type="pct"/>
            <w:vMerge w:val="restart"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:rsidTr="00AC4630">
        <w:tc>
          <w:tcPr>
            <w:tcW w:w="1190" w:type="pct"/>
            <w:vMerge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D44EA5" w:rsidRPr="004501AE" w:rsidTr="00AC4630">
        <w:tc>
          <w:tcPr>
            <w:tcW w:w="1190" w:type="pct"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:rsidTr="00AC4630">
        <w:tc>
          <w:tcPr>
            <w:tcW w:w="1190" w:type="pct"/>
            <w:vMerge w:val="restart"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 xml:space="preserve">Филиал </w:t>
            </w:r>
            <w:r w:rsidRPr="004501AE">
              <w:rPr>
                <w:rFonts w:ascii="Times New Roman" w:hAnsi="Times New Roman" w:cs="Times New Roman"/>
              </w:rPr>
              <w:lastRenderedPageBreak/>
              <w:t>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 xml:space="preserve">Количество объектов </w:t>
            </w:r>
            <w:r w:rsidRPr="004501AE">
              <w:rPr>
                <w:rFonts w:ascii="Times New Roman" w:hAnsi="Times New Roman" w:cs="Times New Roman"/>
              </w:rPr>
              <w:lastRenderedPageBreak/>
              <w:t>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D44EA5" w:rsidRPr="004501AE" w:rsidTr="00AC4630">
        <w:tc>
          <w:tcPr>
            <w:tcW w:w="1190" w:type="pct"/>
            <w:vMerge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D44EA5" w:rsidRPr="004501AE" w:rsidTr="00AC4630">
        <w:tc>
          <w:tcPr>
            <w:tcW w:w="1190" w:type="pct"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:rsidTr="00AC4630">
        <w:tc>
          <w:tcPr>
            <w:tcW w:w="1190" w:type="pct"/>
            <w:vMerge w:val="restart"/>
            <w:vAlign w:val="center"/>
          </w:tcPr>
          <w:p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:rsidTr="00AC4630">
        <w:tc>
          <w:tcPr>
            <w:tcW w:w="1190" w:type="pct"/>
            <w:vMerge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B73DF4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9" w:name="_Toc170480778"/>
      <w:bookmarkStart w:id="30" w:name="_Toc170722583"/>
      <w:bookmarkStart w:id="31" w:name="_Toc204855690"/>
      <w:r w:rsidRPr="00B73DF4">
        <w:rPr>
          <w:rFonts w:ascii="Times New Roman" w:hAnsi="Times New Roman" w:cs="Times New Roman"/>
          <w:b/>
          <w:sz w:val="24"/>
          <w:szCs w:val="24"/>
        </w:rPr>
        <w:t>2.10.3 Торговля и общественное питание</w:t>
      </w:r>
      <w:bookmarkEnd w:id="29"/>
      <w:bookmarkEnd w:id="30"/>
      <w:bookmarkEnd w:id="31"/>
    </w:p>
    <w:p w:rsidR="00D44EA5" w:rsidRPr="00B73DF4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135F9C" w:rsidRPr="00135F9C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6</w:t>
      </w:r>
      <w:r w:rsidR="00135F9C"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424"/>
        <w:gridCol w:w="2310"/>
      </w:tblGrid>
      <w:tr w:rsidR="00D44EA5" w:rsidRPr="00B73DF4" w:rsidTr="00AC4630">
        <w:tc>
          <w:tcPr>
            <w:tcW w:w="1250" w:type="pct"/>
            <w:vAlign w:val="center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D44EA5" w:rsidRPr="00B73DF4" w:rsidTr="00AC4630">
        <w:tc>
          <w:tcPr>
            <w:tcW w:w="1250" w:type="pct"/>
            <w:vMerge w:val="restar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D44EA5" w:rsidRPr="00B73DF4" w:rsidTr="00AC4630"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D44EA5" w:rsidRPr="00B73DF4" w:rsidTr="00AC4630"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D44EA5" w:rsidRPr="00B73DF4" w:rsidTr="00AC4630"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 xml:space="preserve">Расчетный показатель максимально допустимого уровня </w:t>
            </w:r>
            <w:r w:rsidRPr="00B73DF4">
              <w:rPr>
                <w:rFonts w:ascii="Times New Roman" w:hAnsi="Times New Roman" w:cs="Times New Roman"/>
              </w:rPr>
              <w:lastRenderedPageBreak/>
              <w:t>территориальной доступности</w:t>
            </w: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lastRenderedPageBreak/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D44EA5" w:rsidRPr="00B73DF4" w:rsidTr="00AC4630">
        <w:tc>
          <w:tcPr>
            <w:tcW w:w="1250" w:type="pct"/>
            <w:vMerge w:val="restar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lastRenderedPageBreak/>
              <w:t>Предприятия общественного питания</w:t>
            </w:r>
          </w:p>
        </w:tc>
        <w:tc>
          <w:tcPr>
            <w:tcW w:w="125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D44EA5" w:rsidRPr="00B73DF4" w:rsidTr="00AC4630">
        <w:tc>
          <w:tcPr>
            <w:tcW w:w="1250" w:type="pct"/>
            <w:vMerge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B73DF4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_Toc170480779"/>
      <w:bookmarkStart w:id="33" w:name="_Toc204855691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32"/>
      <w:bookmarkEnd w:id="33"/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084FA3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4" w:name="_Toc170480780"/>
      <w:bookmarkStart w:id="35" w:name="_Toc204855692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34"/>
      <w:bookmarkEnd w:id="35"/>
    </w:p>
    <w:p w:rsidR="00D44EA5" w:rsidRPr="00CB549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 w:rsidR="00807569">
        <w:rPr>
          <w:rFonts w:ascii="Times New Roman" w:hAnsi="Times New Roman" w:cs="Times New Roman"/>
          <w:sz w:val="24"/>
          <w:szCs w:val="28"/>
        </w:rPr>
        <w:t>Чаганский</w:t>
      </w:r>
      <w:r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:rsidR="00D44EA5" w:rsidRDefault="00D44EA5" w:rsidP="00D44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4EA5" w:rsidRPr="00450C57" w:rsidRDefault="00D44EA5" w:rsidP="00D44EA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6" w:name="_Toc170480781"/>
      <w:bookmarkStart w:id="37" w:name="_Toc204855693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36"/>
      <w:bookmarkEnd w:id="37"/>
    </w:p>
    <w:p w:rsidR="00D44EA5" w:rsidRPr="00450C57" w:rsidRDefault="00D44EA5" w:rsidP="00D44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EA5" w:rsidRPr="00450C57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_Toc170480782"/>
      <w:bookmarkStart w:id="39" w:name="_Toc204855694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8"/>
      <w:bookmarkEnd w:id="39"/>
    </w:p>
    <w:p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ГрК РФ подготовка местных нормативов градостроительного проектирования осуществляется с учетом: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</w:p>
    <w:p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569" w:rsidRPr="00450C57" w:rsidRDefault="00807569" w:rsidP="0080756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204855695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0"/>
    </w:p>
    <w:p w:rsidR="00807569" w:rsidRPr="00450C57" w:rsidRDefault="00807569" w:rsidP="008075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 w:rsidR="0072026B">
        <w:rPr>
          <w:rFonts w:ascii="Times New Roman" w:hAnsi="Times New Roman" w:cs="Times New Roman"/>
          <w:sz w:val="24"/>
          <w:szCs w:val="24"/>
        </w:rPr>
        <w:t>2549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</w:p>
    <w:p w:rsidR="000029E1" w:rsidRDefault="0072026B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таблицу ниже сведены основные характеристики сельского поселения.</w:t>
      </w:r>
    </w:p>
    <w:p w:rsidR="0072026B" w:rsidRDefault="0072026B" w:rsidP="007202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26B" w:rsidRPr="00450C57" w:rsidRDefault="0072026B" w:rsidP="0072026B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="00135F9C"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="00135F9C" w:rsidRPr="00450C57">
        <w:rPr>
          <w:rFonts w:ascii="Times New Roman" w:hAnsi="Times New Roman" w:cs="Times New Roman"/>
          <w:b/>
          <w:iCs/>
        </w:rPr>
        <w:fldChar w:fldCharType="separate"/>
      </w:r>
      <w:r w:rsidR="00C326F2">
        <w:rPr>
          <w:rFonts w:ascii="Times New Roman" w:hAnsi="Times New Roman" w:cs="Times New Roman"/>
          <w:b/>
          <w:iCs/>
          <w:noProof/>
        </w:rPr>
        <w:t>7</w:t>
      </w:r>
      <w:r w:rsidR="00135F9C"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>
        <w:rPr>
          <w:rFonts w:ascii="Times New Roman" w:hAnsi="Times New Roman" w:cs="Times New Roman"/>
          <w:b/>
          <w:iCs/>
        </w:rPr>
        <w:t>Чаганский</w:t>
      </w:r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/>
      </w:tblPr>
      <w:tblGrid>
        <w:gridCol w:w="1893"/>
        <w:gridCol w:w="1894"/>
        <w:gridCol w:w="1894"/>
        <w:gridCol w:w="1894"/>
        <w:gridCol w:w="1894"/>
      </w:tblGrid>
      <w:tr w:rsidR="0072026B" w:rsidRPr="00450C57" w:rsidTr="00103364"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19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72026B" w:rsidRPr="00450C57" w:rsidTr="00103364">
        <w:tc>
          <w:tcPr>
            <w:tcW w:w="1000" w:type="pct"/>
          </w:tcPr>
          <w:p w:rsidR="0072026B" w:rsidRPr="00450C57" w:rsidRDefault="0072026B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Чаганский</w:t>
            </w:r>
            <w:r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:rsidR="0072026B" w:rsidRPr="001E604E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2549</w:t>
            </w:r>
          </w:p>
        </w:tc>
        <w:tc>
          <w:tcPr>
            <w:tcW w:w="1000" w:type="pct"/>
            <w:vAlign w:val="center"/>
          </w:tcPr>
          <w:p w:rsidR="0072026B" w:rsidRPr="000461A4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5,44</w:t>
            </w:r>
          </w:p>
        </w:tc>
        <w:tc>
          <w:tcPr>
            <w:tcW w:w="1000" w:type="pct"/>
            <w:vAlign w:val="center"/>
          </w:tcPr>
          <w:p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154,70</w:t>
            </w:r>
          </w:p>
        </w:tc>
        <w:tc>
          <w:tcPr>
            <w:tcW w:w="1000" w:type="pct"/>
            <w:vAlign w:val="center"/>
          </w:tcPr>
          <w:p w:rsidR="0072026B" w:rsidRPr="001B1873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16,48</w:t>
            </w:r>
          </w:p>
        </w:tc>
      </w:tr>
    </w:tbl>
    <w:p w:rsidR="0072026B" w:rsidRDefault="0072026B" w:rsidP="007202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9E1" w:rsidRP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 «Чаганский сельсовет» проживает порядка 5% населения муниципального района, из которого более половины сосредоточена в административном центре сельского поселения – село Чаган. Стоит отметить повышенное значение показателя плотности населения – 16,5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которое выше среднего по району (13,8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9E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определении расчетных показателей минимально допустимого уровня обеспеченности объектами местного значения социальной инфраструктуры для населения МО «Чаганский сельсовет» учитывается социально-демографическая структура населения. Распределение населения сельского поселения по полу и возрасту приведено в таблице.</w:t>
      </w:r>
    </w:p>
    <w:p w:rsidR="00C239BD" w:rsidRDefault="00C239BD" w:rsidP="00C239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9BD" w:rsidRPr="001B26E3" w:rsidRDefault="00C239BD" w:rsidP="00C23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="00135F9C"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="00135F9C" w:rsidRPr="001B26E3">
        <w:rPr>
          <w:rFonts w:ascii="Times New Roman" w:hAnsi="Times New Roman" w:cs="Times New Roman"/>
          <w:b/>
        </w:rPr>
        <w:fldChar w:fldCharType="separate"/>
      </w:r>
      <w:r w:rsidR="00C326F2">
        <w:rPr>
          <w:rFonts w:ascii="Times New Roman" w:hAnsi="Times New Roman" w:cs="Times New Roman"/>
          <w:b/>
          <w:noProof/>
        </w:rPr>
        <w:t>8</w:t>
      </w:r>
      <w:r w:rsidR="00135F9C"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 w:rsidR="00F1666E">
        <w:rPr>
          <w:rFonts w:ascii="Times New Roman" w:hAnsi="Times New Roman" w:cs="Times New Roman"/>
          <w:b/>
        </w:rPr>
        <w:t>Чаганский</w:t>
      </w:r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1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3160"/>
        <w:gridCol w:w="1826"/>
        <w:gridCol w:w="1585"/>
        <w:gridCol w:w="1449"/>
        <w:gridCol w:w="1449"/>
      </w:tblGrid>
      <w:tr w:rsidR="00C239BD" w:rsidRPr="001B26E3" w:rsidTr="00C239BD">
        <w:trPr>
          <w:cantSplit/>
          <w:trHeight w:val="2058"/>
        </w:trPr>
        <w:tc>
          <w:tcPr>
            <w:tcW w:w="1669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64" w:type="pct"/>
            <w:textDirection w:val="btLr"/>
            <w:vAlign w:val="center"/>
          </w:tcPr>
          <w:p w:rsidR="00C239BD" w:rsidRPr="001B26E3" w:rsidRDefault="00C239B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Чаган</w:t>
            </w:r>
          </w:p>
        </w:tc>
        <w:tc>
          <w:tcPr>
            <w:tcW w:w="837" w:type="pct"/>
            <w:textDirection w:val="btLr"/>
            <w:vAlign w:val="center"/>
          </w:tcPr>
          <w:p w:rsidR="00C239BD" w:rsidRPr="001B26E3" w:rsidRDefault="00C239B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Увары</w:t>
            </w:r>
          </w:p>
        </w:tc>
        <w:tc>
          <w:tcPr>
            <w:tcW w:w="765" w:type="pct"/>
            <w:textDirection w:val="btLr"/>
            <w:vAlign w:val="center"/>
          </w:tcPr>
          <w:p w:rsidR="00C239BD" w:rsidRPr="001B26E3" w:rsidRDefault="00C239BD" w:rsidP="00C239B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Успех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(100%)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7,2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8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(46,3%)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47,6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52,8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51,4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(53,7%)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52,4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</w:t>
            </w:r>
            <w:r w:rsidR="00F1666E">
              <w:rPr>
                <w:rFonts w:ascii="Times New Roman" w:hAnsi="Times New Roman" w:cs="Times New Roman"/>
              </w:rPr>
              <w:t>3,7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18,9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</w:t>
            </w:r>
            <w:r w:rsidR="00F1666E">
              <w:rPr>
                <w:rFonts w:ascii="Times New Roman" w:hAnsi="Times New Roman" w:cs="Times New Roman"/>
              </w:rPr>
              <w:t>11,4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21,1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55,9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54,0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(</w:t>
            </w:r>
            <w:r w:rsidR="00F1666E">
              <w:rPr>
                <w:rFonts w:ascii="Times New Roman" w:hAnsi="Times New Roman" w:cs="Times New Roman"/>
              </w:rPr>
              <w:t>50,9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54,8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CE0726" w:rsidTr="00C239BD">
        <w:tc>
          <w:tcPr>
            <w:tcW w:w="1669" w:type="pct"/>
            <w:vAlign w:val="center"/>
          </w:tcPr>
          <w:p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964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20,5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27,1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(</w:t>
            </w:r>
            <w:r w:rsidR="00F1666E">
              <w:rPr>
                <w:rFonts w:ascii="Times New Roman" w:hAnsi="Times New Roman" w:cs="Times New Roman"/>
              </w:rPr>
              <w:t>37,7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24,1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:rsidR="00C239BD" w:rsidRPr="00CE0726" w:rsidRDefault="00C239BD" w:rsidP="00C239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666E" w:rsidRPr="000065C5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женского населения над мужским (5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65C5">
        <w:rPr>
          <w:rFonts w:ascii="Times New Roman" w:hAnsi="Times New Roman" w:cs="Times New Roman"/>
          <w:sz w:val="24"/>
          <w:szCs w:val="24"/>
        </w:rPr>
        <w:t>,4% против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065C5">
        <w:rPr>
          <w:rFonts w:ascii="Times New Roman" w:hAnsi="Times New Roman" w:cs="Times New Roman"/>
          <w:sz w:val="24"/>
          <w:szCs w:val="24"/>
        </w:rPr>
        <w:t>,6%);</w:t>
      </w:r>
    </w:p>
    <w:p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(5</w:t>
      </w:r>
      <w:r>
        <w:rPr>
          <w:rFonts w:ascii="Times New Roman" w:hAnsi="Times New Roman" w:cs="Times New Roman"/>
          <w:sz w:val="24"/>
          <w:szCs w:val="24"/>
        </w:rPr>
        <w:t>4,8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(2</w:t>
      </w:r>
      <w:r>
        <w:rPr>
          <w:rFonts w:ascii="Times New Roman" w:hAnsi="Times New Roman" w:cs="Times New Roman"/>
          <w:sz w:val="24"/>
          <w:szCs w:val="24"/>
        </w:rPr>
        <w:t>4,1</w:t>
      </w:r>
      <w:r w:rsidRPr="000065C5">
        <w:rPr>
          <w:rFonts w:ascii="Times New Roman" w:hAnsi="Times New Roman" w:cs="Times New Roman"/>
          <w:sz w:val="24"/>
          <w:szCs w:val="24"/>
        </w:rPr>
        <w:t xml:space="preserve">% против </w:t>
      </w:r>
      <w:r>
        <w:rPr>
          <w:rFonts w:ascii="Times New Roman" w:hAnsi="Times New Roman" w:cs="Times New Roman"/>
          <w:sz w:val="24"/>
          <w:szCs w:val="24"/>
        </w:rPr>
        <w:t>21,1</w:t>
      </w:r>
      <w:r w:rsidRPr="000065C5">
        <w:rPr>
          <w:rFonts w:ascii="Times New Roman" w:hAnsi="Times New Roman" w:cs="Times New Roman"/>
          <w:sz w:val="24"/>
          <w:szCs w:val="24"/>
        </w:rPr>
        <w:t>%).</w:t>
      </w:r>
    </w:p>
    <w:p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66E" w:rsidRPr="00F1261F" w:rsidRDefault="00F1666E" w:rsidP="00F1666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1" w:name="_Toc170480784"/>
      <w:bookmarkStart w:id="42" w:name="_Toc188863960"/>
      <w:bookmarkStart w:id="43" w:name="_Toc204855696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1"/>
      <w:bookmarkEnd w:id="42"/>
      <w:bookmarkEnd w:id="43"/>
    </w:p>
    <w:p w:rsidR="00F1666E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:rsid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66E" w:rsidRPr="004B31EA" w:rsidRDefault="00F1666E" w:rsidP="00F1666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4" w:name="_Toc170480785"/>
      <w:bookmarkStart w:id="45" w:name="_Toc188863961"/>
      <w:bookmarkStart w:id="46" w:name="_Toc204855697"/>
      <w:r w:rsidRPr="004B31EA">
        <w:rPr>
          <w:rFonts w:ascii="Times New Roman" w:hAnsi="Times New Roman" w:cs="Times New Roman"/>
          <w:b/>
          <w:sz w:val="24"/>
          <w:szCs w:val="24"/>
        </w:rPr>
        <w:lastRenderedPageBreak/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44"/>
      <w:bookmarkEnd w:id="45"/>
      <w:bookmarkEnd w:id="46"/>
    </w:p>
    <w:p w:rsidR="00F1666E" w:rsidRPr="004B31EA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4B31EA">
        <w:rPr>
          <w:rFonts w:ascii="Times New Roman" w:hAnsi="Times New Roman" w:cs="Times New Roman"/>
          <w:sz w:val="24"/>
          <w:szCs w:val="24"/>
        </w:rPr>
        <w:t xml:space="preserve"> сельсовет» установлен на основании:</w:t>
      </w:r>
    </w:p>
    <w:p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:rsidR="00F1666E" w:rsidRPr="003523AD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:rsidR="00F1666E" w:rsidRPr="003523AD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решением Совета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94D94"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>от 02.12.2015 г. № 12</w:t>
      </w:r>
      <w:r w:rsidRPr="003523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(ред. от 26.08.2024 г.)</w:t>
      </w:r>
      <w:r w:rsidRPr="003523AD">
        <w:rPr>
          <w:rFonts w:ascii="Times New Roman" w:hAnsi="Times New Roman" w:cs="Times New Roman"/>
          <w:sz w:val="24"/>
          <w:szCs w:val="24"/>
        </w:rPr>
        <w:t>.</w:t>
      </w:r>
    </w:p>
    <w:p w:rsidR="00F1666E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F1261F" w:rsidRDefault="00EC654F" w:rsidP="00EC65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="00135F9C"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="00135F9C"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 w:rsidR="00C326F2">
        <w:rPr>
          <w:rFonts w:ascii="Times New Roman" w:eastAsia="Calibri" w:hAnsi="Times New Roman" w:cs="Times New Roman"/>
          <w:b/>
          <w:bCs/>
          <w:noProof/>
          <w:szCs w:val="18"/>
        </w:rPr>
        <w:t>9</w:t>
      </w:r>
      <w:r w:rsidR="00135F9C"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/>
      </w:tblPr>
      <w:tblGrid>
        <w:gridCol w:w="486"/>
        <w:gridCol w:w="1951"/>
        <w:gridCol w:w="2485"/>
        <w:gridCol w:w="4547"/>
      </w:tblGrid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распределительные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пункты.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п.1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мест)</w:t>
            </w:r>
          </w:p>
        </w:tc>
        <w:tc>
          <w:tcPr>
            <w:tcW w:w="1312" w:type="pct"/>
          </w:tcPr>
          <w:p w:rsidR="00EC654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Обработка, утилизация, обезвреживание, размещение твердых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коммунальных отходов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Федеральный закон от 24.06.1998 № 89-ФЗ «Об отходах производства и потребления»;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ч. 4 ст. 29.2 ГрК РФ;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предприятия общественного питания.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EC654F" w:rsidRPr="00F1261F" w:rsidTr="00103364">
        <w:tc>
          <w:tcPr>
            <w:tcW w:w="256" w:type="pct"/>
            <w:vAlign w:val="center"/>
          </w:tcPr>
          <w:p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1030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F1261F" w:rsidRDefault="00EC654F" w:rsidP="00EC65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170480786"/>
      <w:bookmarkStart w:id="48" w:name="_Toc188863962"/>
      <w:bookmarkStart w:id="49" w:name="_Toc204855698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47"/>
      <w:bookmarkEnd w:id="48"/>
      <w:bookmarkEnd w:id="49"/>
    </w:p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p w:rsid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70480787"/>
      <w:bookmarkStart w:id="51" w:name="_Toc188863963"/>
      <w:bookmarkStart w:id="52" w:name="_Toc204855699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50"/>
      <w:bookmarkEnd w:id="51"/>
      <w:bookmarkEnd w:id="52"/>
    </w:p>
    <w:p w:rsidR="00EC654F" w:rsidRPr="003F640C" w:rsidRDefault="00EC654F" w:rsidP="00EC6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3" w:name="_Toc170480788"/>
      <w:bookmarkStart w:id="54" w:name="_Toc188863964"/>
      <w:bookmarkStart w:id="55" w:name="_Toc204855700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53"/>
      <w:bookmarkEnd w:id="54"/>
      <w:bookmarkEnd w:id="55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2251"/>
        <w:gridCol w:w="2947"/>
        <w:gridCol w:w="4271"/>
      </w:tblGrid>
      <w:tr w:rsidR="00EC654F" w:rsidRPr="003F640C" w:rsidTr="00103364">
        <w:trPr>
          <w:trHeight w:val="334"/>
        </w:trPr>
        <w:tc>
          <w:tcPr>
            <w:tcW w:w="1189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428"/>
        </w:trPr>
        <w:tc>
          <w:tcPr>
            <w:tcW w:w="1189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Pr="003F640C">
              <w:rPr>
                <w:rFonts w:ascii="Times New Roman" w:hAnsi="Times New Roman" w:cs="Times New Roman"/>
              </w:rPr>
              <w:lastRenderedPageBreak/>
              <w:t>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rPr>
          <w:trHeight w:val="853"/>
        </w:trPr>
        <w:tc>
          <w:tcPr>
            <w:tcW w:w="1189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6" w:name="_Toc170480789"/>
      <w:bookmarkStart w:id="57" w:name="_Toc188863965"/>
      <w:bookmarkStart w:id="58" w:name="_Toc204855701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56"/>
      <w:bookmarkEnd w:id="57"/>
      <w:bookmarkEnd w:id="58"/>
    </w:p>
    <w:tbl>
      <w:tblPr>
        <w:tblStyle w:val="210"/>
        <w:tblW w:w="5000" w:type="pct"/>
        <w:tblLook w:val="04A0"/>
      </w:tblPr>
      <w:tblGrid>
        <w:gridCol w:w="2276"/>
        <w:gridCol w:w="2978"/>
        <w:gridCol w:w="4317"/>
      </w:tblGrid>
      <w:tr w:rsidR="00EC654F" w:rsidRPr="003F640C" w:rsidTr="00103364">
        <w:trPr>
          <w:trHeight w:val="334"/>
        </w:trPr>
        <w:tc>
          <w:tcPr>
            <w:tcW w:w="1189" w:type="pct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:rsidR="00EC654F" w:rsidRPr="003F640C" w:rsidRDefault="00EC654F" w:rsidP="00103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654F" w:rsidRPr="003F640C" w:rsidRDefault="00EC654F" w:rsidP="00EC6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9" w:name="_Toc170480790"/>
      <w:bookmarkStart w:id="60" w:name="_Toc188863966"/>
      <w:bookmarkStart w:id="61" w:name="_Toc204855702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59"/>
      <w:bookmarkEnd w:id="60"/>
      <w:bookmarkEnd w:id="6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2251"/>
        <w:gridCol w:w="2947"/>
        <w:gridCol w:w="4271"/>
      </w:tblGrid>
      <w:tr w:rsidR="00EC654F" w:rsidRPr="003F640C" w:rsidTr="00103364">
        <w:trPr>
          <w:trHeight w:val="334"/>
        </w:trPr>
        <w:tc>
          <w:tcPr>
            <w:tcW w:w="1189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428"/>
        </w:trPr>
        <w:tc>
          <w:tcPr>
            <w:tcW w:w="1189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:rsidR="00EC654F" w:rsidRPr="00BF2CA6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rPr>
          <w:trHeight w:val="853"/>
        </w:trPr>
        <w:tc>
          <w:tcPr>
            <w:tcW w:w="1189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2" w:name="_Toc170480791"/>
      <w:bookmarkStart w:id="63" w:name="_Toc188863967"/>
      <w:bookmarkStart w:id="64" w:name="_Toc204855703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62"/>
      <w:bookmarkEnd w:id="63"/>
      <w:bookmarkEnd w:id="6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2251"/>
        <w:gridCol w:w="2947"/>
        <w:gridCol w:w="4271"/>
      </w:tblGrid>
      <w:tr w:rsidR="00EC654F" w:rsidRPr="003F640C" w:rsidTr="00103364">
        <w:trPr>
          <w:trHeight w:val="334"/>
        </w:trPr>
        <w:tc>
          <w:tcPr>
            <w:tcW w:w="1189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EC654F">
        <w:trPr>
          <w:trHeight w:val="570"/>
        </w:trPr>
        <w:tc>
          <w:tcPr>
            <w:tcW w:w="1189" w:type="pct"/>
            <w:vMerge w:val="restar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:rsidR="00EC654F" w:rsidRPr="00686253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rPr>
          <w:trHeight w:val="853"/>
        </w:trPr>
        <w:tc>
          <w:tcPr>
            <w:tcW w:w="1189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5" w:name="_Toc170480792"/>
      <w:bookmarkStart w:id="66" w:name="_Toc188863968"/>
      <w:bookmarkStart w:id="67" w:name="_Toc204855704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65"/>
      <w:bookmarkEnd w:id="66"/>
      <w:bookmarkEnd w:id="6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2251"/>
        <w:gridCol w:w="2947"/>
        <w:gridCol w:w="4271"/>
      </w:tblGrid>
      <w:tr w:rsidR="00EC654F" w:rsidRPr="003F640C" w:rsidTr="00103364">
        <w:trPr>
          <w:trHeight w:val="334"/>
        </w:trPr>
        <w:tc>
          <w:tcPr>
            <w:tcW w:w="1189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725"/>
        </w:trPr>
        <w:tc>
          <w:tcPr>
            <w:tcW w:w="1189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8" w:name="_Toc170480793"/>
      <w:bookmarkStart w:id="69" w:name="_Toc188863969"/>
      <w:bookmarkStart w:id="70" w:name="_Toc204855705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68"/>
      <w:bookmarkEnd w:id="69"/>
      <w:bookmarkEnd w:id="70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/>
      </w:tblPr>
      <w:tblGrid>
        <w:gridCol w:w="2282"/>
        <w:gridCol w:w="2873"/>
        <w:gridCol w:w="4314"/>
      </w:tblGrid>
      <w:tr w:rsidR="00EC654F" w:rsidRPr="003F640C" w:rsidTr="00103364">
        <w:tc>
          <w:tcPr>
            <w:tcW w:w="120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:rsidR="00EC654F" w:rsidRPr="003F640C" w:rsidRDefault="00EC654F" w:rsidP="00103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EC654F" w:rsidRPr="003F640C" w:rsidTr="00103364">
        <w:tc>
          <w:tcPr>
            <w:tcW w:w="1205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:rsidR="00EC654F" w:rsidRPr="0036740D" w:rsidRDefault="00EC654F" w:rsidP="001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EC654F" w:rsidRPr="003F640C" w:rsidTr="00103364">
        <w:tc>
          <w:tcPr>
            <w:tcW w:w="1205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EC654F" w:rsidRPr="003F640C" w:rsidTr="00103364">
        <w:trPr>
          <w:trHeight w:val="3289"/>
        </w:trPr>
        <w:tc>
          <w:tcPr>
            <w:tcW w:w="1205" w:type="pct"/>
            <w:vMerge w:val="restart"/>
          </w:tcPr>
          <w:p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Улично-дорожная сеть</w:t>
            </w:r>
          </w:p>
        </w:tc>
        <w:tc>
          <w:tcPr>
            <w:tcW w:w="1517" w:type="pct"/>
          </w:tcPr>
          <w:p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 установлен с учетом текущей обеспеченности.</w:t>
            </w:r>
          </w:p>
          <w:p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>
              <w:rPr>
                <w:rFonts w:ascii="Times New Roman" w:eastAsia="Calibri" w:hAnsi="Times New Roman" w:cs="Times New Roman"/>
                <w:color w:val="000000"/>
              </w:rPr>
              <w:t>24,300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км. Площадь муниципального образования «Сельское поселение </w:t>
            </w:r>
            <w:r w:rsidR="006845AD">
              <w:rPr>
                <w:rFonts w:ascii="Times New Roman" w:eastAsia="Calibri" w:hAnsi="Times New Roman" w:cs="Times New Roman"/>
                <w:color w:val="000000"/>
              </w:rPr>
              <w:t>Чаганский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>
              <w:rPr>
                <w:rFonts w:ascii="Times New Roman" w:eastAsia="Calibri" w:hAnsi="Times New Roman" w:cs="Times New Roman"/>
                <w:color w:val="000000"/>
              </w:rPr>
              <w:t>154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</w:rPr>
              <w:t>697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0 / </w:t>
            </w:r>
            <w:r>
              <w:rPr>
                <w:rFonts w:ascii="Times New Roman" w:eastAsia="Calibri" w:hAnsi="Times New Roman" w:cs="Times New Roman"/>
                <w:color w:val="000000"/>
              </w:rPr>
              <w:t>154,70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= 0,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EC654F" w:rsidRPr="003F640C" w:rsidTr="00103364">
        <w:tc>
          <w:tcPr>
            <w:tcW w:w="1205" w:type="pct"/>
            <w:vMerge/>
          </w:tcPr>
          <w:p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EC654F" w:rsidRPr="003F640C" w:rsidTr="00103364">
        <w:trPr>
          <w:trHeight w:val="974"/>
        </w:trPr>
        <w:tc>
          <w:tcPr>
            <w:tcW w:w="1205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EC654F" w:rsidRPr="003F640C" w:rsidTr="00103364">
        <w:tc>
          <w:tcPr>
            <w:tcW w:w="1205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1" w:name="_Toc170480794"/>
      <w:bookmarkStart w:id="72" w:name="_Toc188863970"/>
      <w:bookmarkStart w:id="73" w:name="_Toc204855706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71"/>
      <w:bookmarkEnd w:id="72"/>
      <w:bookmarkEnd w:id="73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/>
      </w:tblPr>
      <w:tblGrid>
        <w:gridCol w:w="2510"/>
        <w:gridCol w:w="2759"/>
        <w:gridCol w:w="4200"/>
      </w:tblGrid>
      <w:tr w:rsidR="00EC654F" w:rsidRPr="003F640C" w:rsidTr="00103364">
        <w:trPr>
          <w:trHeight w:val="594"/>
        </w:trPr>
        <w:tc>
          <w:tcPr>
            <w:tcW w:w="1325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594"/>
        </w:trPr>
        <w:tc>
          <w:tcPr>
            <w:tcW w:w="1325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c>
          <w:tcPr>
            <w:tcW w:w="1325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c>
          <w:tcPr>
            <w:tcW w:w="1325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c>
          <w:tcPr>
            <w:tcW w:w="1325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rPr>
          <w:trHeight w:val="681"/>
        </w:trPr>
        <w:tc>
          <w:tcPr>
            <w:tcW w:w="1325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rPr>
          <w:trHeight w:val="818"/>
        </w:trPr>
        <w:tc>
          <w:tcPr>
            <w:tcW w:w="1325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4" w:name="_Toc170480795"/>
      <w:bookmarkStart w:id="75" w:name="_Toc188863971"/>
      <w:bookmarkStart w:id="76" w:name="_Toc204855707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74"/>
      <w:bookmarkEnd w:id="75"/>
      <w:bookmarkEnd w:id="76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/>
      </w:tblPr>
      <w:tblGrid>
        <w:gridCol w:w="2284"/>
        <w:gridCol w:w="2871"/>
        <w:gridCol w:w="4314"/>
      </w:tblGrid>
      <w:tr w:rsidR="00EC654F" w:rsidRPr="003F640C" w:rsidTr="00103364">
        <w:trPr>
          <w:trHeight w:val="58"/>
        </w:trPr>
        <w:tc>
          <w:tcPr>
            <w:tcW w:w="120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1347"/>
        </w:trPr>
        <w:tc>
          <w:tcPr>
            <w:tcW w:w="1206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:rsidR="00EC654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</w:t>
            </w:r>
            <w:r w:rsidRPr="003F640C">
              <w:rPr>
                <w:rFonts w:ascii="Times New Roman" w:eastAsia="Calibri" w:hAnsi="Times New Roman" w:cs="Times New Roman"/>
              </w:rPr>
              <w:lastRenderedPageBreak/>
              <w:t>населения МО «</w:t>
            </w:r>
            <w:r w:rsidR="00FB02F1">
              <w:rPr>
                <w:rFonts w:ascii="Times New Roman" w:eastAsia="Calibri" w:hAnsi="Times New Roman" w:cs="Times New Roman"/>
              </w:rPr>
              <w:t>Чаганский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2"/>
            </w:r>
          </w:p>
        </w:tc>
      </w:tr>
      <w:tr w:rsidR="00EC654F" w:rsidRPr="003F640C" w:rsidTr="00103364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c>
          <w:tcPr>
            <w:tcW w:w="1206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7" w:name="_Toc170480796"/>
      <w:bookmarkStart w:id="78" w:name="_Toc188863972"/>
      <w:bookmarkStart w:id="79" w:name="_Toc204855708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77"/>
      <w:bookmarkEnd w:id="78"/>
      <w:bookmarkEnd w:id="79"/>
    </w:p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22).</w:t>
      </w:r>
    </w:p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0" w:name="_Toc170480797"/>
      <w:bookmarkStart w:id="81" w:name="_Toc188863973"/>
      <w:bookmarkStart w:id="82" w:name="_Toc204855709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 w:rsidR="006845AD">
        <w:rPr>
          <w:rFonts w:ascii="Times New Roman" w:hAnsi="Times New Roman" w:cs="Times New Roman"/>
          <w:b/>
          <w:sz w:val="24"/>
          <w:szCs w:val="24"/>
        </w:rPr>
        <w:t>Чаганский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80"/>
      <w:bookmarkEnd w:id="81"/>
      <w:bookmarkEnd w:id="82"/>
    </w:p>
    <w:p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3" w:name="_Toc170480798"/>
      <w:bookmarkStart w:id="84" w:name="_Toc188863974"/>
      <w:bookmarkStart w:id="85" w:name="_Toc204855710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83"/>
      <w:bookmarkEnd w:id="84"/>
      <w:bookmarkEnd w:id="85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EC654F" w:rsidRPr="003F640C" w:rsidTr="00103364">
        <w:tc>
          <w:tcPr>
            <w:tcW w:w="990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c>
          <w:tcPr>
            <w:tcW w:w="990" w:type="pct"/>
            <w:vMerge w:val="restart"/>
            <w:vAlign w:val="center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 xml:space="preserve"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</w:t>
            </w:r>
            <w:r w:rsidRPr="003F640C">
              <w:rPr>
                <w:rFonts w:ascii="Times New Roman" w:hAnsi="Times New Roman"/>
              </w:rPr>
              <w:lastRenderedPageBreak/>
              <w:t>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EC654F" w:rsidRPr="003F640C" w:rsidTr="00103364">
        <w:tc>
          <w:tcPr>
            <w:tcW w:w="990" w:type="pct"/>
            <w:vMerge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6" w:name="_Toc170480799"/>
      <w:bookmarkStart w:id="87" w:name="_Toc188863975"/>
      <w:bookmarkStart w:id="88" w:name="_Toc204855711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86"/>
      <w:bookmarkEnd w:id="87"/>
      <w:bookmarkEnd w:id="88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1861"/>
        <w:gridCol w:w="3017"/>
        <w:gridCol w:w="4591"/>
      </w:tblGrid>
      <w:tr w:rsidR="00EC654F" w:rsidRPr="003F640C" w:rsidTr="00103364">
        <w:tc>
          <w:tcPr>
            <w:tcW w:w="983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c>
          <w:tcPr>
            <w:tcW w:w="98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 w:rsidR="00FB02F1">
              <w:rPr>
                <w:rFonts w:ascii="Times New Roman" w:hAnsi="Times New Roman" w:cs="Times New Roman"/>
              </w:rPr>
              <w:t>Чаганский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EC654F" w:rsidRPr="003F640C" w:rsidTr="00103364">
        <w:tc>
          <w:tcPr>
            <w:tcW w:w="98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:rsidTr="00103364">
        <w:trPr>
          <w:trHeight w:val="253"/>
        </w:trPr>
        <w:tc>
          <w:tcPr>
            <w:tcW w:w="98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EC654F" w:rsidRPr="003F640C" w:rsidTr="00103364">
        <w:tc>
          <w:tcPr>
            <w:tcW w:w="98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EC654F" w:rsidRPr="003F640C" w:rsidTr="00103364">
        <w:trPr>
          <w:trHeight w:val="253"/>
        </w:trPr>
        <w:tc>
          <w:tcPr>
            <w:tcW w:w="98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9" w:name="_Toc170480800"/>
      <w:bookmarkStart w:id="90" w:name="_Toc188863976"/>
      <w:bookmarkStart w:id="91" w:name="_Toc204855712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89"/>
      <w:bookmarkEnd w:id="90"/>
      <w:bookmarkEnd w:id="9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1861"/>
        <w:gridCol w:w="3017"/>
        <w:gridCol w:w="4591"/>
      </w:tblGrid>
      <w:tr w:rsidR="00EC654F" w:rsidRPr="003F640C" w:rsidTr="00103364">
        <w:tc>
          <w:tcPr>
            <w:tcW w:w="983" w:type="pct"/>
            <w:vAlign w:val="center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c>
          <w:tcPr>
            <w:tcW w:w="98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 w:rsidR="00FB02F1">
              <w:rPr>
                <w:rFonts w:ascii="Times New Roman" w:hAnsi="Times New Roman" w:cs="Times New Roman"/>
              </w:rPr>
              <w:t>Чаганский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</w:t>
            </w:r>
            <w:r w:rsidRPr="003F640C">
              <w:rPr>
                <w:rFonts w:ascii="Times New Roman" w:hAnsi="Times New Roman" w:cs="Times New Roman"/>
              </w:rPr>
              <w:lastRenderedPageBreak/>
              <w:t>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EC654F" w:rsidRPr="003F640C" w:rsidTr="00103364">
        <w:tc>
          <w:tcPr>
            <w:tcW w:w="983" w:type="pct"/>
            <w:vMerge w:val="restar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 w:rsidR="00FB02F1">
              <w:rPr>
                <w:rFonts w:ascii="Times New Roman" w:hAnsi="Times New Roman" w:cs="Times New Roman"/>
              </w:rPr>
              <w:t>Чаганский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2" w:name="_Toc170480801"/>
      <w:bookmarkStart w:id="93" w:name="_Toc188863977"/>
      <w:bookmarkStart w:id="94" w:name="_Toc204855713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92"/>
      <w:bookmarkEnd w:id="93"/>
      <w:bookmarkEnd w:id="94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/>
      </w:tblPr>
      <w:tblGrid>
        <w:gridCol w:w="1861"/>
        <w:gridCol w:w="3017"/>
        <w:gridCol w:w="4591"/>
      </w:tblGrid>
      <w:tr w:rsidR="00EC654F" w:rsidRPr="003F640C" w:rsidTr="00103364">
        <w:tc>
          <w:tcPr>
            <w:tcW w:w="983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c>
          <w:tcPr>
            <w:tcW w:w="983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rPr>
          <w:trHeight w:val="253"/>
        </w:trPr>
        <w:tc>
          <w:tcPr>
            <w:tcW w:w="983" w:type="pct"/>
            <w:vMerge w:val="restar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5" w:name="_Toc170480802"/>
      <w:bookmarkStart w:id="96" w:name="_Toc188863978"/>
      <w:bookmarkStart w:id="97" w:name="_Toc204855714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95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96"/>
      <w:bookmarkEnd w:id="97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/>
      </w:tblPr>
      <w:tblGrid>
        <w:gridCol w:w="1861"/>
        <w:gridCol w:w="3017"/>
        <w:gridCol w:w="4591"/>
      </w:tblGrid>
      <w:tr w:rsidR="00EC654F" w:rsidRPr="003F640C" w:rsidTr="00103364">
        <w:tc>
          <w:tcPr>
            <w:tcW w:w="983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:rsidTr="00103364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:rsidTr="00103364">
        <w:tc>
          <w:tcPr>
            <w:tcW w:w="983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98" w:name="_Toc170480803"/>
      <w:bookmarkStart w:id="99" w:name="_Toc188863979"/>
      <w:bookmarkStart w:id="100" w:name="_Toc204855715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98"/>
      <w:bookmarkEnd w:id="99"/>
      <w:bookmarkEnd w:id="100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1" w:name="_Toc170480804"/>
      <w:bookmarkStart w:id="102" w:name="_Toc188863980"/>
      <w:bookmarkStart w:id="103" w:name="_Toc204855716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01"/>
      <w:bookmarkEnd w:id="102"/>
      <w:bookmarkEnd w:id="103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 В соответствии с требованиями части 3 статьи 24 ГрК РФ подготовка проекта генерального плана сельского поселения осуществляется с учетом РНГП и МНГП.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4.1.2 В соответствии с требованиями пункта 4 части 6 статьи 30 ГрК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4.1.3 В соответствии с требованиями пункта 7 части 4 статьи 42 ГрК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4" w:name="_Toc170480805"/>
      <w:bookmarkStart w:id="105" w:name="_Toc188863981"/>
      <w:bookmarkStart w:id="106" w:name="_Toc204855717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04"/>
      <w:bookmarkEnd w:id="105"/>
      <w:bookmarkEnd w:id="106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:rsidR="00FB02F1" w:rsidRDefault="00FB02F1" w:rsidP="00FB0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02F1" w:rsidRPr="00130FF6" w:rsidRDefault="00FB02F1" w:rsidP="00FB02F1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07" w:name="_Toc170480806"/>
      <w:bookmarkStart w:id="108" w:name="_Toc188863982"/>
      <w:bookmarkStart w:id="109" w:name="_Toc204855718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107"/>
      <w:bookmarkEnd w:id="108"/>
      <w:bookmarkEnd w:id="109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>
        <w:rPr>
          <w:rFonts w:ascii="Times New Roman" w:hAnsi="Times New Roman" w:cs="Times New Roman"/>
          <w:sz w:val="24"/>
          <w:szCs w:val="24"/>
        </w:rPr>
        <w:t>Чаганский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5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10" w:name="_Toc170480807"/>
      <w:bookmarkStart w:id="111" w:name="_Toc188863983"/>
      <w:bookmarkStart w:id="112" w:name="_Toc204855719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110"/>
      <w:bookmarkEnd w:id="111"/>
      <w:bookmarkEnd w:id="112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ГрК РФ – Градостроительный кодекс Российской Федерации.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:rsidR="00FB02F1" w:rsidRPr="00130FF6" w:rsidRDefault="00FB02F1" w:rsidP="00FB02F1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3" w:name="_Toc170480808"/>
      <w:bookmarkStart w:id="114" w:name="_Toc188863984"/>
      <w:bookmarkStart w:id="115" w:name="_Toc204855720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113"/>
      <w:bookmarkEnd w:id="114"/>
      <w:bookmarkEnd w:id="115"/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6" w:name="_Toc170480809"/>
      <w:bookmarkStart w:id="117" w:name="_Toc188863985"/>
      <w:bookmarkStart w:id="118" w:name="_Toc204855721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16"/>
      <w:bookmarkEnd w:id="117"/>
      <w:bookmarkEnd w:id="118"/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9" w:name="_Toc170480810"/>
      <w:bookmarkStart w:id="120" w:name="_Toc188863986"/>
      <w:bookmarkStart w:id="121" w:name="_Toc204855722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19"/>
      <w:bookmarkEnd w:id="120"/>
      <w:bookmarkEnd w:id="121"/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 xml:space="preserve">31мая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35/2012-ОЗ, от 25.09.2012 № 60/2012-ОЗ, от 26.07.2013 № 38/2013-ОЗ, от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:rsidR="00FB02F1" w:rsidRPr="00B5733D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31 декабря 2021 года № 699-П «О Программе государственных гарантий бесплатного оказания гражданам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минстроя Астраханской области от 20.05.2019 № 22, от 19.12.2019 № 53, от 11.12.2020 № 37, от 19.11.2021 № 28, от 27.05.2022 № 9, от 10.02.2023 № 6, от 27.07.2023 № 22);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минстроя Астраханской области от 28.06.2018 № 32, от 13.09.2022 № 25);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минстроя Астраханской области от 09.06.2017 № 18, от 19.10.2017 № 40);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:rsidR="00FB02F1" w:rsidRPr="00130FF6" w:rsidRDefault="00FB02F1" w:rsidP="00FB02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2" w:name="_Toc170480811"/>
      <w:bookmarkStart w:id="123" w:name="_Toc188863987"/>
      <w:bookmarkStart w:id="124" w:name="_Toc204855723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22"/>
      <w:bookmarkEnd w:id="123"/>
      <w:bookmarkEnd w:id="124"/>
    </w:p>
    <w:p w:rsidR="00FB02F1" w:rsidRPr="00131D5C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9 ноября 2023 года № 1496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«Комплексное развитие систем коммунальной инфраструктуры на территории муниципального образования «Городское поселение город Камызяк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02F1" w:rsidRPr="00130FF6" w:rsidRDefault="00FB02F1" w:rsidP="00FB02F1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B02F1"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</w:p>
    <w:sectPr w:rsidR="00FB02F1" w:rsidRPr="00130FF6" w:rsidSect="0013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8C" w:rsidRDefault="00F7668C" w:rsidP="007A004F">
      <w:pPr>
        <w:spacing w:after="0" w:line="240" w:lineRule="auto"/>
      </w:pPr>
      <w:r>
        <w:separator/>
      </w:r>
    </w:p>
  </w:endnote>
  <w:endnote w:type="continuationSeparator" w:id="1">
    <w:p w:rsidR="00F7668C" w:rsidRDefault="00F7668C" w:rsidP="007A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8C" w:rsidRDefault="00F7668C" w:rsidP="007A004F">
      <w:pPr>
        <w:spacing w:after="0" w:line="240" w:lineRule="auto"/>
      </w:pPr>
      <w:r>
        <w:separator/>
      </w:r>
    </w:p>
  </w:footnote>
  <w:footnote w:type="continuationSeparator" w:id="1">
    <w:p w:rsidR="00F7668C" w:rsidRDefault="00F7668C" w:rsidP="007A004F">
      <w:pPr>
        <w:spacing w:after="0" w:line="240" w:lineRule="auto"/>
      </w:pPr>
      <w:r>
        <w:continuationSeparator/>
      </w:r>
    </w:p>
  </w:footnote>
  <w:footnote w:id="2">
    <w:p w:rsidR="007A004F" w:rsidRPr="00977795" w:rsidRDefault="007A004F" w:rsidP="007A004F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3">
    <w:p w:rsidR="007A004F" w:rsidRDefault="007A004F" w:rsidP="007A004F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4">
    <w:p w:rsidR="007A004F" w:rsidRPr="003523AD" w:rsidRDefault="007A004F" w:rsidP="007A004F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5">
    <w:p w:rsidR="007A004F" w:rsidRDefault="007A004F" w:rsidP="007A004F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 w:rsidR="00807569">
        <w:rPr>
          <w:rFonts w:ascii="Times New Roman" w:hAnsi="Times New Roman" w:cs="Times New Roman"/>
        </w:rPr>
        <w:t>Чаганский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:rsidR="00AD06AE" w:rsidRPr="00977795" w:rsidRDefault="00AD06AE" w:rsidP="00AD06AE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 w:rsidR="00807569">
        <w:rPr>
          <w:rFonts w:ascii="Times New Roman" w:hAnsi="Times New Roman" w:cs="Times New Roman"/>
        </w:rPr>
        <w:t>Чаганский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 w:rsidR="00807569">
        <w:rPr>
          <w:rFonts w:ascii="Times New Roman" w:hAnsi="Times New Roman" w:cs="Times New Roman"/>
        </w:rPr>
        <w:t>Чаганский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7">
    <w:p w:rsidR="00AD06AE" w:rsidRPr="00977795" w:rsidRDefault="00AD06AE" w:rsidP="00AD06AE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8">
    <w:p w:rsidR="00AD06AE" w:rsidRDefault="00AD06AE" w:rsidP="00AD06AE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9">
    <w:p w:rsidR="00D44EA5" w:rsidRPr="003D17E1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0">
    <w:p w:rsidR="00D44EA5" w:rsidRPr="00382A9C" w:rsidRDefault="00D44EA5" w:rsidP="00D44EA5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1">
    <w:p w:rsidR="00D44EA5" w:rsidRPr="0045044C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2">
    <w:p w:rsidR="00D44EA5" w:rsidRPr="004501AE" w:rsidRDefault="00D44EA5" w:rsidP="00D44EA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3">
    <w:p w:rsidR="00D44EA5" w:rsidRPr="00B73DF4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4">
    <w:p w:rsidR="00D44EA5" w:rsidRPr="00B73DF4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5">
    <w:p w:rsidR="00D44EA5" w:rsidRPr="008A7880" w:rsidRDefault="00D44EA5" w:rsidP="00D44E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6">
    <w:p w:rsidR="00D44EA5" w:rsidRPr="00F01875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7">
    <w:p w:rsidR="00807569" w:rsidRPr="00977EFA" w:rsidRDefault="00807569" w:rsidP="00807569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 w:rsidR="0072026B">
        <w:rPr>
          <w:rFonts w:ascii="Times New Roman" w:hAnsi="Times New Roman" w:cs="Times New Roman"/>
        </w:rPr>
        <w:t>Чаганский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8">
    <w:p w:rsidR="0072026B" w:rsidRPr="00977EFA" w:rsidRDefault="0072026B" w:rsidP="0072026B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>
        <w:rPr>
          <w:rFonts w:ascii="Times New Roman" w:hAnsi="Times New Roman" w:cs="Times New Roman"/>
        </w:rPr>
        <w:t>Чаганский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9">
    <w:p w:rsidR="0072026B" w:rsidRPr="001E604E" w:rsidRDefault="0072026B" w:rsidP="0072026B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>
        <w:rPr>
          <w:rFonts w:ascii="Times New Roman" w:hAnsi="Times New Roman" w:cs="Times New Roman"/>
        </w:rPr>
        <w:t>Чаганский</w:t>
      </w:r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20">
    <w:p w:rsidR="00D17031" w:rsidRPr="00977EFA" w:rsidRDefault="00D17031" w:rsidP="00D17031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1">
    <w:p w:rsidR="00C239BD" w:rsidRPr="00875070" w:rsidRDefault="00C239BD" w:rsidP="00C239BD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2">
    <w:p w:rsidR="00EC654F" w:rsidRPr="00AF79E6" w:rsidRDefault="00EC654F" w:rsidP="00EC654F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3">
    <w:p w:rsidR="00FB02F1" w:rsidRPr="0052494D" w:rsidRDefault="00FB02F1" w:rsidP="00FB02F1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4">
    <w:p w:rsidR="00FB02F1" w:rsidRPr="00D81C95" w:rsidRDefault="00FB02F1" w:rsidP="00FB02F1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5">
    <w:p w:rsidR="00FB02F1" w:rsidRPr="004B4747" w:rsidRDefault="00FB02F1" w:rsidP="00FB02F1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000F3B"/>
    <w:multiLevelType w:val="hybridMultilevel"/>
    <w:tmpl w:val="D6B6A44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A50"/>
    <w:rsid w:val="000029E1"/>
    <w:rsid w:val="000C5A42"/>
    <w:rsid w:val="00135F9C"/>
    <w:rsid w:val="001A3285"/>
    <w:rsid w:val="00205704"/>
    <w:rsid w:val="00294D94"/>
    <w:rsid w:val="002B2B23"/>
    <w:rsid w:val="002B3A50"/>
    <w:rsid w:val="00351D37"/>
    <w:rsid w:val="004A6C11"/>
    <w:rsid w:val="005615FC"/>
    <w:rsid w:val="00660498"/>
    <w:rsid w:val="006845AD"/>
    <w:rsid w:val="006B44B2"/>
    <w:rsid w:val="0072026B"/>
    <w:rsid w:val="00746AB9"/>
    <w:rsid w:val="007A004F"/>
    <w:rsid w:val="00807569"/>
    <w:rsid w:val="009679F9"/>
    <w:rsid w:val="00985EA9"/>
    <w:rsid w:val="00A856F4"/>
    <w:rsid w:val="00AD06AE"/>
    <w:rsid w:val="00B21EF3"/>
    <w:rsid w:val="00C239BD"/>
    <w:rsid w:val="00C326F2"/>
    <w:rsid w:val="00C63CB6"/>
    <w:rsid w:val="00D17031"/>
    <w:rsid w:val="00D44EA5"/>
    <w:rsid w:val="00D711BF"/>
    <w:rsid w:val="00DB6D3A"/>
    <w:rsid w:val="00EC654F"/>
    <w:rsid w:val="00F1666E"/>
    <w:rsid w:val="00F54383"/>
    <w:rsid w:val="00F7668C"/>
    <w:rsid w:val="00FB0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E1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2B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A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9E1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029E1"/>
    <w:pPr>
      <w:tabs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851"/>
    </w:pPr>
  </w:style>
  <w:style w:type="paragraph" w:styleId="41">
    <w:name w:val="toc 4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851"/>
    </w:p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7A00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7A004F"/>
    <w:rPr>
      <w:kern w:val="0"/>
      <w:sz w:val="20"/>
      <w:szCs w:val="20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7A004F"/>
    <w:rPr>
      <w:vertAlign w:val="superscript"/>
    </w:rPr>
  </w:style>
  <w:style w:type="table" w:styleId="af0">
    <w:name w:val="Table Grid"/>
    <w:basedOn w:val="a1"/>
    <w:uiPriority w:val="39"/>
    <w:rsid w:val="00AD06A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39"/>
    <w:rsid w:val="00D44E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D44EA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4EA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D44EA5"/>
    <w:rPr>
      <w:kern w:val="0"/>
      <w:sz w:val="20"/>
      <w:szCs w:val="20"/>
    </w:rPr>
  </w:style>
  <w:style w:type="table" w:customStyle="1" w:styleId="120">
    <w:name w:val="Сетка таблицы12"/>
    <w:basedOn w:val="a1"/>
    <w:next w:val="af0"/>
    <w:uiPriority w:val="39"/>
    <w:rsid w:val="00D44E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39"/>
    <w:rsid w:val="00D44EA5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39"/>
    <w:rsid w:val="00D44E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0"/>
    <w:uiPriority w:val="39"/>
    <w:rsid w:val="00D44E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75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7569"/>
    <w:rPr>
      <w:b/>
      <w:bCs/>
      <w:kern w:val="0"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72026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39"/>
    <w:rsid w:val="00C239B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f0"/>
    <w:uiPriority w:val="39"/>
    <w:rsid w:val="00EC654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uiPriority w:val="39"/>
    <w:rsid w:val="00EC654F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14515</Words>
  <Characters>82737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важенский</dc:creator>
  <cp:lastModifiedBy>Chagan Adm</cp:lastModifiedBy>
  <cp:revision>2</cp:revision>
  <dcterms:created xsi:type="dcterms:W3CDTF">2025-08-04T04:49:00Z</dcterms:created>
  <dcterms:modified xsi:type="dcterms:W3CDTF">2025-08-04T04:49:00Z</dcterms:modified>
</cp:coreProperties>
</file>